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CB" w:rsidRPr="00092E19" w:rsidRDefault="004F35CB" w:rsidP="004F35CB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>Додаток</w:t>
      </w:r>
      <w:r w:rsidR="00057313" w:rsidRPr="00CE57FC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 2</w:t>
      </w: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 </w:t>
      </w:r>
    </w:p>
    <w:p w:rsidR="004F35CB" w:rsidRPr="00092E19" w:rsidRDefault="004F35CB" w:rsidP="004F35CB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до </w:t>
      </w:r>
      <w:r w:rsidR="00B82E45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проекту </w:t>
      </w: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>рішення Богданівської сільської ради</w:t>
      </w:r>
    </w:p>
    <w:p w:rsidR="00735639" w:rsidRDefault="004F35CB" w:rsidP="00735639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>«</w:t>
      </w:r>
      <w:r w:rsidR="00735639" w:rsidRPr="00735639">
        <w:rPr>
          <w:rFonts w:ascii="Times New Roman" w:hAnsi="Times New Roman"/>
          <w:i/>
          <w:noProof/>
          <w:sz w:val="24"/>
          <w:szCs w:val="24"/>
          <w:lang w:val="ru-RU" w:eastAsia="uk-UA"/>
        </w:rPr>
        <w:t>Про встановлення ставок та пі</w:t>
      </w:r>
      <w:r w:rsidR="00735639">
        <w:rPr>
          <w:rFonts w:ascii="Times New Roman" w:hAnsi="Times New Roman"/>
          <w:i/>
          <w:noProof/>
          <w:sz w:val="24"/>
          <w:szCs w:val="24"/>
          <w:lang w:val="ru-RU" w:eastAsia="uk-UA"/>
        </w:rPr>
        <w:t>льг із сплати земельного податку</w:t>
      </w:r>
    </w:p>
    <w:p w:rsidR="004F35CB" w:rsidRPr="00092E19" w:rsidRDefault="00735639" w:rsidP="00735639">
      <w:pPr>
        <w:pStyle w:val="ae"/>
        <w:shd w:val="clear" w:color="auto" w:fill="FFFFFF"/>
        <w:contextualSpacing/>
        <w:jc w:val="right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  <w:r w:rsidRPr="00735639">
        <w:rPr>
          <w:rFonts w:ascii="Times New Roman" w:hAnsi="Times New Roman"/>
          <w:i/>
          <w:noProof/>
          <w:sz w:val="24"/>
          <w:szCs w:val="24"/>
          <w:lang w:val="ru-RU" w:eastAsia="uk-UA"/>
        </w:rPr>
        <w:t>на території Богданівської сільської територіальної громади</w:t>
      </w:r>
      <w:r w:rsidR="004F35CB" w:rsidRPr="00092E19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» </w:t>
      </w:r>
    </w:p>
    <w:p w:rsidR="007877B1" w:rsidRPr="00057313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8"/>
          <w:szCs w:val="28"/>
          <w:lang w:val="ru-RU" w:eastAsia="uk-UA"/>
        </w:rPr>
      </w:pPr>
      <w:r w:rsidRPr="00057313">
        <w:rPr>
          <w:rFonts w:ascii="Times New Roman" w:hAnsi="Times New Roman"/>
          <w:noProof/>
          <w:sz w:val="28"/>
          <w:szCs w:val="28"/>
          <w:lang w:val="ru-RU" w:eastAsia="uk-UA"/>
        </w:rPr>
        <w:t>СТАВКИ</w:t>
      </w:r>
      <w:r w:rsidR="00DA20CA" w:rsidRPr="00057313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057313">
        <w:rPr>
          <w:rFonts w:ascii="Times New Roman" w:hAnsi="Times New Roman"/>
          <w:noProof/>
          <w:sz w:val="28"/>
          <w:szCs w:val="28"/>
          <w:lang w:val="ru-RU" w:eastAsia="uk-UA"/>
        </w:rPr>
        <w:br/>
        <w:t>земельного</w:t>
      </w:r>
      <w:r w:rsidR="00DA20CA" w:rsidRPr="00057313">
        <w:rPr>
          <w:rFonts w:ascii="Times New Roman" w:hAnsi="Times New Roman"/>
          <w:noProof/>
          <w:sz w:val="28"/>
          <w:szCs w:val="28"/>
          <w:lang w:val="ru-RU" w:eastAsia="uk-UA"/>
        </w:rPr>
        <w:t xml:space="preserve"> </w:t>
      </w:r>
      <w:r w:rsidRPr="00057313">
        <w:rPr>
          <w:rFonts w:ascii="Times New Roman" w:hAnsi="Times New Roman"/>
          <w:noProof/>
          <w:sz w:val="28"/>
          <w:szCs w:val="28"/>
          <w:lang w:val="ru-RU" w:eastAsia="uk-UA"/>
        </w:rPr>
        <w:t>податку</w:t>
      </w:r>
    </w:p>
    <w:p w:rsidR="007877B1" w:rsidRPr="00057313" w:rsidRDefault="007877B1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ru-RU" w:eastAsia="uk-UA"/>
        </w:rPr>
      </w:pPr>
    </w:p>
    <w:tbl>
      <w:tblPr>
        <w:tblW w:w="21561" w:type="dxa"/>
        <w:tblInd w:w="93" w:type="dxa"/>
        <w:tblLook w:val="04A0" w:firstRow="1" w:lastRow="0" w:firstColumn="1" w:lastColumn="0" w:noHBand="0" w:noVBand="1"/>
      </w:tblPr>
      <w:tblGrid>
        <w:gridCol w:w="1149"/>
        <w:gridCol w:w="1276"/>
        <w:gridCol w:w="580"/>
        <w:gridCol w:w="838"/>
        <w:gridCol w:w="1450"/>
        <w:gridCol w:w="236"/>
        <w:gridCol w:w="2424"/>
        <w:gridCol w:w="1764"/>
        <w:gridCol w:w="1355"/>
        <w:gridCol w:w="2551"/>
        <w:gridCol w:w="7938"/>
      </w:tblGrid>
      <w:tr w:rsidR="00941966" w:rsidRPr="00C449E5" w:rsidTr="002776ED">
        <w:trPr>
          <w:gridAfter w:val="6"/>
          <w:wAfter w:w="16268" w:type="dxa"/>
          <w:trHeight w:val="375"/>
        </w:trPr>
        <w:tc>
          <w:tcPr>
            <w:tcW w:w="3005" w:type="dxa"/>
            <w:gridSpan w:val="3"/>
            <w:hideMark/>
          </w:tcPr>
          <w:p w:rsidR="00941966" w:rsidRPr="00C449E5" w:rsidRDefault="00941966" w:rsidP="003D594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бюджету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2288" w:type="dxa"/>
            <w:gridSpan w:val="2"/>
            <w:hideMark/>
          </w:tcPr>
          <w:p w:rsidR="00941966" w:rsidRPr="00C449E5" w:rsidRDefault="00DA20CA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</w:pPr>
            <w:r w:rsidRPr="00C449E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 xml:space="preserve"> </w:t>
            </w:r>
            <w:r w:rsidR="002776ED" w:rsidRPr="002776ED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>0450200000</w:t>
            </w:r>
          </w:p>
        </w:tc>
      </w:tr>
      <w:tr w:rsidR="002776ED" w:rsidRPr="00C449E5" w:rsidTr="002776ED">
        <w:trPr>
          <w:gridAfter w:val="6"/>
          <w:wAfter w:w="16268" w:type="dxa"/>
          <w:trHeight w:val="375"/>
        </w:trPr>
        <w:tc>
          <w:tcPr>
            <w:tcW w:w="3005" w:type="dxa"/>
            <w:gridSpan w:val="3"/>
          </w:tcPr>
          <w:p w:rsidR="002776ED" w:rsidRPr="00C449E5" w:rsidRDefault="002776ED" w:rsidP="003D594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2288" w:type="dxa"/>
            <w:gridSpan w:val="2"/>
          </w:tcPr>
          <w:p w:rsidR="002776ED" w:rsidRPr="00C449E5" w:rsidRDefault="002776E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</w:pPr>
          </w:p>
        </w:tc>
      </w:tr>
      <w:tr w:rsidR="004F35CB" w:rsidRPr="0005144A" w:rsidTr="002776ED">
        <w:trPr>
          <w:trHeight w:val="300"/>
        </w:trPr>
        <w:tc>
          <w:tcPr>
            <w:tcW w:w="55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Рішення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5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Орган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місцевого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самоврядування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що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прийняв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рішення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ru-RU" w:eastAsia="uk-UA"/>
              </w:rPr>
              <w:t>3</w:t>
            </w:r>
          </w:p>
        </w:tc>
        <w:tc>
          <w:tcPr>
            <w:tcW w:w="10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Адміністративно-територіальні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одиниці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, для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яких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>встановлені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ru-RU" w:eastAsia="uk-UA"/>
              </w:rPr>
              <w:t xml:space="preserve"> ставки</w:t>
            </w:r>
          </w:p>
        </w:tc>
      </w:tr>
      <w:tr w:rsidR="004F35CB" w:rsidRPr="0005144A" w:rsidTr="002776ED">
        <w:trPr>
          <w:trHeight w:val="300"/>
        </w:trPr>
        <w:tc>
          <w:tcPr>
            <w:tcW w:w="55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0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</w:p>
        </w:tc>
      </w:tr>
      <w:tr w:rsidR="004F35CB" w:rsidRPr="0005144A" w:rsidTr="002776ED">
        <w:trPr>
          <w:trHeight w:val="13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номер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 xml:space="preserve">дата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дата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набрання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 xml:space="preserve"> чинності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дата, з якої застосовуються ставки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код згідно з КАТОТТГ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назва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код згідно з ЄДРПОУ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код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 xml:space="preserve">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>згідно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val="en-AU" w:eastAsia="uk-UA"/>
              </w:rPr>
              <w:t xml:space="preserve"> з КАТОТТГ </w:t>
            </w:r>
            <w:r w:rsidRPr="0005144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>назва</w:t>
            </w:r>
          </w:p>
        </w:tc>
      </w:tr>
      <w:tr w:rsidR="004F35CB" w:rsidRPr="0005144A" w:rsidTr="002776ED">
        <w:trPr>
          <w:trHeight w:val="8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1B67F5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 w:rsidR="001B67F5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 w:rsidR="001B67F5"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село Богданівка у складі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Богданівської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сільської територіальної громади у Павлоградському районі у Дніпропетровській області, адміністративний центр територіальної громади</w:t>
            </w:r>
          </w:p>
        </w:tc>
      </w:tr>
      <w:tr w:rsidR="004F35CB" w:rsidRPr="0005144A" w:rsidTr="002776ED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1B67F5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CE57FC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</w:t>
            </w:r>
            <w:r w:rsidR="00CE57FC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Зелене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63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1B67F5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CE57FC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</w:t>
            </w:r>
            <w:r w:rsidR="00CE57FC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село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Мерцалівка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у складі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Богданівської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4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1B67F5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CE57FC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</w:t>
            </w:r>
            <w:r w:rsidR="00CE57FC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Самарське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5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1B67F5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CE57FC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</w:t>
            </w:r>
            <w:r w:rsidR="00CE57FC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Богуслав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1B67F5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CE57FC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</w:t>
            </w:r>
            <w:r w:rsidR="00CE57FC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Нова Русь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1B67F5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CE57FC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</w:t>
            </w:r>
            <w:r w:rsidR="00CE57FC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село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Мар"ївка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у складі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Богданівської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6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1B67F5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CE57FC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</w:t>
            </w:r>
            <w:r w:rsidR="00CE57FC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село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Кохівка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у складі </w:t>
            </w: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Богданівської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6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1B67F5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CE57FC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4021042</w:t>
            </w:r>
            <w:r w:rsidR="00CE57FC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Нова Дача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  <w:tr w:rsidR="004F35CB" w:rsidRPr="0005144A" w:rsidTr="002776ED">
        <w:trPr>
          <w:trHeight w:val="54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1B67F5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proofErr w:type="spellStart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Богданівська</w:t>
            </w:r>
            <w:proofErr w:type="spellEnd"/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сільська рада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CB" w:rsidRPr="0005144A" w:rsidRDefault="004F35CB" w:rsidP="003C0D73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402104</w:t>
            </w:r>
            <w:r w:rsidR="003C0D73">
              <w:rPr>
                <w:rFonts w:ascii="Times New Roman" w:hAnsi="Times New Roman"/>
                <w:color w:val="000000"/>
                <w:sz w:val="20"/>
                <w:lang w:eastAsia="uk-UA"/>
              </w:rPr>
              <w:t>2</w:t>
            </w:r>
            <w:r w:rsidR="00CE57FC">
              <w:rPr>
                <w:rFonts w:ascii="Times New Roman" w:hAnsi="Times New Roman"/>
                <w:color w:val="000000"/>
                <w:sz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CB" w:rsidRPr="0005144A" w:rsidRDefault="004F35CB" w:rsidP="004F35CB">
            <w:pPr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UA12120010000087180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CB" w:rsidRPr="0005144A" w:rsidRDefault="004F35CB" w:rsidP="004F35CB">
            <w:pPr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05144A">
              <w:rPr>
                <w:rFonts w:ascii="Times New Roman" w:hAnsi="Times New Roman"/>
                <w:color w:val="000000"/>
                <w:sz w:val="20"/>
                <w:lang w:eastAsia="uk-UA"/>
              </w:rPr>
              <w:t>село Шахтарське у складі Богданівської сільської територіальної громади у Павлоградському районі у Дніпропетровській області</w:t>
            </w:r>
          </w:p>
        </w:tc>
      </w:tr>
    </w:tbl>
    <w:p w:rsidR="004F35CB" w:rsidRPr="007B57FE" w:rsidRDefault="004F35CB" w:rsidP="004F35CB">
      <w:pPr>
        <w:shd w:val="clear" w:color="auto" w:fill="FFFFFF"/>
        <w:rPr>
          <w:rFonts w:ascii="Calibri" w:hAnsi="Calibri"/>
          <w:noProof/>
        </w:rPr>
      </w:pPr>
    </w:p>
    <w:p w:rsidR="00941966" w:rsidRPr="004F35CB" w:rsidRDefault="00941966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eastAsia="uk-UA"/>
        </w:rPr>
      </w:pPr>
    </w:p>
    <w:p w:rsidR="004D3ABB" w:rsidRPr="004F35CB" w:rsidRDefault="004D3ABB" w:rsidP="001E7C89">
      <w:pPr>
        <w:pStyle w:val="a5"/>
        <w:shd w:val="clear" w:color="auto" w:fill="FFFFFF"/>
        <w:rPr>
          <w:rFonts w:ascii="Times New Roman" w:hAnsi="Times New Roman"/>
          <w:noProof/>
          <w:sz w:val="28"/>
          <w:szCs w:val="28"/>
        </w:rPr>
      </w:pPr>
    </w:p>
    <w:tbl>
      <w:tblPr>
        <w:tblW w:w="5162" w:type="pct"/>
        <w:tblLook w:val="04A0" w:firstRow="1" w:lastRow="0" w:firstColumn="1" w:lastColumn="0" w:noHBand="0" w:noVBand="1"/>
      </w:tblPr>
      <w:tblGrid>
        <w:gridCol w:w="764"/>
        <w:gridCol w:w="1243"/>
        <w:gridCol w:w="4788"/>
        <w:gridCol w:w="1237"/>
        <w:gridCol w:w="1156"/>
        <w:gridCol w:w="1237"/>
        <w:gridCol w:w="1025"/>
        <w:gridCol w:w="1435"/>
        <w:gridCol w:w="1237"/>
        <w:gridCol w:w="1340"/>
        <w:gridCol w:w="1025"/>
        <w:gridCol w:w="1349"/>
        <w:gridCol w:w="1237"/>
        <w:gridCol w:w="22"/>
        <w:gridCol w:w="1327"/>
        <w:gridCol w:w="1406"/>
      </w:tblGrid>
      <w:tr w:rsidR="007877B1" w:rsidRPr="00C449E5" w:rsidTr="00C449E5">
        <w:trPr>
          <w:trHeight w:val="20"/>
          <w:tblHeader/>
        </w:trPr>
        <w:tc>
          <w:tcPr>
            <w:tcW w:w="1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Вид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  <w:r w:rsidR="000D6390"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5</w:t>
            </w:r>
          </w:p>
        </w:tc>
        <w:tc>
          <w:tcPr>
            <w:tcW w:w="1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  <w:tc>
          <w:tcPr>
            <w:tcW w:w="2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0D6390"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перебувають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постійному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користуванні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</w:tr>
      <w:tr w:rsidR="007877B1" w:rsidRPr="00C449E5" w:rsidTr="001975BC">
        <w:trPr>
          <w:trHeight w:val="20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CA0787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наявності)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2C30B4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найменування</w:t>
            </w:r>
            <w:r w:rsidR="000D6390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12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</w:tr>
      <w:tr w:rsidR="007877B1" w:rsidRPr="00C449E5" w:rsidTr="001975BC">
        <w:trPr>
          <w:trHeight w:val="2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4F35CB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</w:tr>
      <w:tr w:rsidR="007877B1" w:rsidRPr="00C449E5" w:rsidTr="001975BC">
        <w:trPr>
          <w:trHeight w:val="20"/>
          <w:tblHeader/>
        </w:trPr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</w:tr>
      <w:tr w:rsidR="007877B1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сільськогосподарського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C5731E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C449E5" w:rsidRDefault="00C5731E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4F35CB" w:rsidRDefault="00C5731E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товарного сільськогосподарського виробництва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C5731E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C449E5" w:rsidRDefault="00C5731E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фермерського господарства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1975BC" w:rsidRDefault="00C5731E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DC2975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особистого селянського господарства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DC2975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підсобного сільського господарства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DC2975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0,800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садівництва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городництва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сінокосіння і випасання худоби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E42AC9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highlight w:val="yellow"/>
                <w:lang w:val="ru-RU" w:eastAsia="uk-UA"/>
              </w:rPr>
            </w:pPr>
            <w:r w:rsidRPr="00FF08C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1975BC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1975BC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1975BC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Default="00DC2975" w:rsidP="00E42AC9">
            <w:pPr>
              <w:jc w:val="center"/>
            </w:pPr>
            <w:r w:rsidRPr="0091799A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DC297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DC2975" w:rsidRDefault="00DC2975" w:rsidP="00E42AC9">
            <w:pPr>
              <w:jc w:val="center"/>
            </w:pPr>
            <w:r w:rsidRPr="001F786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</w:t>
            </w: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C5731E" w:rsidRPr="00C449E5" w:rsidTr="00FF531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C449E5" w:rsidRDefault="00C5731E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житлової забудови</w:t>
            </w:r>
          </w:p>
        </w:tc>
      </w:tr>
      <w:tr w:rsidR="00DC2975" w:rsidRPr="00C449E5" w:rsidTr="007A654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7A65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7A65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7A65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7A654C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54C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житлового будівництва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0,080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індивідуальних гаражів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іншої житлової забудови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02.01 - 02.07, 02.09 - 02.12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7A654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080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1975BC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DC2975" w:rsidRPr="00C449E5" w:rsidTr="001975BC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75" w:rsidRPr="00C449E5" w:rsidRDefault="00DC2975" w:rsidP="00FF531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02.12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1975BC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1975B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громадської забудови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освіти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E903B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DC2975" w:rsidRPr="00C449E5" w:rsidTr="00E903B0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03.11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975" w:rsidRPr="00C449E5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75" w:rsidRPr="004F35CB" w:rsidRDefault="00DC297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903B0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75" w:rsidRPr="00E903B0" w:rsidRDefault="00DC2975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C449E5" w:rsidRDefault="00E42AC9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32B42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E42AC9" w:rsidRPr="00C449E5" w:rsidTr="00E32B42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0,5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4F35CB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природно-заповідного фонду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2377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2377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2377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2377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природних заповідників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національних природних парків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04.04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ботанічних садів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23773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E42AC9" w:rsidRPr="00C449E5" w:rsidTr="00F23773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4F35CB" w:rsidRDefault="00E42AC9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4F35CB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 іншого природоохоронного призначення</w:t>
            </w:r>
          </w:p>
        </w:tc>
      </w:tr>
      <w:tr w:rsidR="00E42AC9" w:rsidRPr="00C449E5" w:rsidTr="00E42AC9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AC9" w:rsidRPr="00C449E5" w:rsidRDefault="00E42AC9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C9" w:rsidRPr="00F23773" w:rsidRDefault="00E42AC9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AC9" w:rsidRPr="00F23773" w:rsidRDefault="00E42AC9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AC9" w:rsidRPr="00F23773" w:rsidRDefault="00E42AC9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0,010</w:t>
            </w:r>
          </w:p>
        </w:tc>
      </w:tr>
      <w:tr w:rsidR="00C5731E" w:rsidRPr="00C449E5" w:rsidTr="00963996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4F35CB" w:rsidRDefault="00C5731E" w:rsidP="003948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4F35CB" w:rsidRDefault="00C5731E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4F35CB" w:rsidRDefault="00C5731E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4F35CB" w:rsidRDefault="00C5731E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1E" w:rsidRPr="004F35CB" w:rsidRDefault="00C5731E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E42AC9" w:rsidRDefault="00963996" w:rsidP="00963996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оздоровчого призначення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санаторно-оздоровчих закладів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06.03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інших оздоровчих цілей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0,050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рекреаційного призначення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27DF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E27DF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4F35CB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історико-культурного призначення</w:t>
            </w:r>
          </w:p>
        </w:tc>
      </w:tr>
      <w:tr w:rsidR="00963996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08.02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C5731E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C449E5" w:rsidRDefault="00C5731E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31E" w:rsidRPr="00C449E5" w:rsidRDefault="00C5731E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Лісові землі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09.01 - 09.02, 09.04 - 09.05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0,100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водного фонду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10.03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2,800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08564E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08564E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08564E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08564E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сінокосіння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рибогосподарських потреб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E27DFB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3,000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пляжами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F46267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промисловості</w:t>
            </w:r>
          </w:p>
        </w:tc>
      </w:tr>
      <w:tr w:rsidR="00963996" w:rsidRPr="00C449E5" w:rsidTr="00963996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 та експлуатації основних, підсобних і допоміжних будівель та споруд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підприємств, що пов’язані з користуванням надрами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lastRenderedPageBreak/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11.02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2374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2374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23747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F4626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E0320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F4626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E42AC9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F4626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Default="00963996" w:rsidP="00DC0C68">
            <w:pPr>
              <w:jc w:val="center"/>
            </w:pPr>
            <w:r w:rsidRPr="008C6700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транспорту</w:t>
            </w:r>
          </w:p>
        </w:tc>
      </w:tr>
      <w:tr w:rsidR="00963996" w:rsidRPr="00C449E5" w:rsidTr="001B67F5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1B67F5" w:rsidRDefault="000B549E" w:rsidP="001B67F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yellow"/>
                <w:lang w:eastAsia="uk-UA"/>
              </w:rPr>
            </w:pPr>
            <w:r w:rsidRPr="000B54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  <w:bookmarkStart w:id="0" w:name="_GoBack"/>
            <w:bookmarkEnd w:id="0"/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12.03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080623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080623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080623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080623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080623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,500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080623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080623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</w:t>
            </w:r>
            <w:r w:rsidR="00963996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080623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080623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2,500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5,000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2374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963996" w:rsidRPr="00C449E5" w:rsidTr="00D23747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3996" w:rsidRPr="00C449E5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996" w:rsidRPr="004F35CB" w:rsidRDefault="00963996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996" w:rsidRPr="00D23747" w:rsidRDefault="00963996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1,000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E03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E03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Земельні ділянки електронних комунікацій (земельні ділянки, надані під повітряні і кабельні телефонно-телеграфні лінії та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4E1BB2" w:rsidRPr="00C449E5" w:rsidTr="00D5489F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D5489F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13.02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3,000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D5489F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цілей підрозділів 13.01  </w:t>
            </w:r>
            <w:r w:rsidRPr="004F35C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13.03, 13.05  </w:t>
            </w:r>
            <w:r w:rsidRPr="004F35C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13.06 та 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1BB2" w:rsidRPr="00D5489F" w:rsidRDefault="00DC0C68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1BB2" w:rsidRPr="00D5489F" w:rsidRDefault="00DC0C68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1BB2" w:rsidRPr="00D5489F" w:rsidRDefault="00DC0C68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1BB2" w:rsidRPr="00D5489F" w:rsidRDefault="00DC0C68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E03204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енергетики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5489F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1,500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5,000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14.01 - 14.02, 14.04 - 14.06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E42AC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23747" w:rsidRDefault="004E1BB2" w:rsidP="00DC0C68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E42AC9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shd w:val="clear" w:color="auto" w:fill="FFFFFF"/>
              <w:spacing w:before="10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D5489F" w:rsidRDefault="004E1BB2" w:rsidP="00DC0C68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uk-UA"/>
              </w:rPr>
              <w:t>1,000</w:t>
            </w:r>
          </w:p>
        </w:tc>
      </w:tr>
      <w:tr w:rsidR="00C5731E" w:rsidRPr="00C449E5" w:rsidTr="004F35CB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15</w:t>
            </w:r>
          </w:p>
        </w:tc>
        <w:tc>
          <w:tcPr>
            <w:tcW w:w="48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731E" w:rsidRPr="00C449E5" w:rsidRDefault="00C5731E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 оборони</w:t>
            </w:r>
          </w:p>
        </w:tc>
      </w:tr>
      <w:tr w:rsidR="005C740F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740F" w:rsidRPr="00C449E5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740F" w:rsidRPr="00C449E5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0F" w:rsidRPr="004F35CB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Збройних Сил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5C740F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740F" w:rsidRPr="00C449E5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740F" w:rsidRPr="00C449E5" w:rsidRDefault="005C740F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0F" w:rsidRPr="00C449E5" w:rsidRDefault="005C740F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гвардії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F46267" w:rsidRDefault="005C740F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40F" w:rsidRPr="00E27DFB" w:rsidRDefault="005C740F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прикордонної служби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Служби безпеки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2C30B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Служби зовнішньої розвідки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4F35CB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C449E5" w:rsidRDefault="004E1BB2" w:rsidP="00DA20C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  <w:tr w:rsidR="004E1BB2" w:rsidRPr="00C449E5" w:rsidTr="00DC0C6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1BB2" w:rsidRPr="00C449E5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B2" w:rsidRPr="004F35CB" w:rsidRDefault="004E1BB2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4F35CB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E42AC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F46267" w:rsidRDefault="004E1BB2" w:rsidP="00E42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6267">
              <w:rPr>
                <w:rFonts w:ascii="Times New Roman" w:hAnsi="Times New Roman"/>
                <w:sz w:val="22"/>
                <w:szCs w:val="22"/>
              </w:rPr>
              <w:t>Зв.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BB2" w:rsidRPr="00E27DFB" w:rsidRDefault="004E1BB2" w:rsidP="00DC0C6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Зв.</w:t>
            </w:r>
          </w:p>
        </w:tc>
      </w:tr>
    </w:tbl>
    <w:p w:rsidR="005162B7" w:rsidRPr="00D5489F" w:rsidRDefault="00DA20CA" w:rsidP="003A100C">
      <w:pPr>
        <w:shd w:val="clear" w:color="auto" w:fill="FFFFFF"/>
        <w:rPr>
          <w:rFonts w:ascii="Times New Roman" w:hAnsi="Times New Roman"/>
          <w:noProof/>
          <w:sz w:val="16"/>
          <w:szCs w:val="16"/>
          <w:lang w:val="ru-RU"/>
        </w:rPr>
      </w:pPr>
      <w:r w:rsidRPr="004F35CB">
        <w:rPr>
          <w:rFonts w:ascii="Times New Roman" w:hAnsi="Times New Roman"/>
          <w:noProof/>
          <w:sz w:val="22"/>
          <w:szCs w:val="22"/>
          <w:lang w:val="ru-RU" w:eastAsia="uk-UA"/>
        </w:rPr>
        <w:lastRenderedPageBreak/>
        <w:t xml:space="preserve">__________ </w:t>
      </w:r>
      <w:r w:rsidRPr="004F35CB">
        <w:rPr>
          <w:rFonts w:ascii="Times New Roman" w:hAnsi="Times New Roman"/>
          <w:noProof/>
          <w:sz w:val="22"/>
          <w:szCs w:val="22"/>
          <w:lang w:val="ru-RU" w:eastAsia="uk-UA"/>
        </w:rPr>
        <w:br/>
      </w:r>
      <w:r w:rsidR="005162B7" w:rsidRPr="00D5489F">
        <w:rPr>
          <w:rFonts w:ascii="Times New Roman" w:hAnsi="Times New Roman"/>
          <w:noProof/>
          <w:sz w:val="16"/>
          <w:szCs w:val="16"/>
          <w:lang w:val="ru-RU" w:eastAsia="uk-UA"/>
        </w:rPr>
        <w:t>Примітка.</w:t>
      </w:r>
      <w:r w:rsidRPr="00D5489F">
        <w:rPr>
          <w:rFonts w:ascii="Times New Roman" w:hAnsi="Times New Roman"/>
          <w:noProof/>
          <w:sz w:val="16"/>
          <w:szCs w:val="16"/>
          <w:lang w:val="ru-RU" w:eastAsia="uk-UA"/>
        </w:rPr>
        <w:t xml:space="preserve"> </w:t>
      </w:r>
      <w:r w:rsidR="005162B7" w:rsidRPr="00D5489F">
        <w:rPr>
          <w:rFonts w:ascii="Times New Roman" w:hAnsi="Times New Roman"/>
          <w:noProof/>
          <w:spacing w:val="-4"/>
          <w:sz w:val="16"/>
          <w:szCs w:val="16"/>
          <w:lang w:val="ru-RU" w:eastAsia="uk-UA"/>
        </w:rPr>
        <w:t>КАТОТТГ</w:t>
      </w:r>
      <w:r w:rsidRPr="00D5489F">
        <w:rPr>
          <w:rFonts w:ascii="Times New Roman" w:hAnsi="Times New Roman"/>
          <w:noProof/>
          <w:spacing w:val="-4"/>
          <w:sz w:val="16"/>
          <w:szCs w:val="16"/>
          <w:lang w:val="ru-RU" w:eastAsia="uk-UA"/>
        </w:rPr>
        <w:t xml:space="preserve"> -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Кодифікатор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адміністративно-територіальних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одиниць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та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територій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територіальних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громад,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затверджений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наказом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Мінрегіону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від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26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листопада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2020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5162B7" w:rsidRPr="00D5489F">
        <w:rPr>
          <w:rFonts w:ascii="Times New Roman" w:hAnsi="Times New Roman"/>
          <w:noProof/>
          <w:sz w:val="16"/>
          <w:szCs w:val="16"/>
          <w:lang w:val="ru-RU"/>
        </w:rPr>
        <w:t>р.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A80034" w:rsidRPr="00D5489F">
        <w:rPr>
          <w:rFonts w:ascii="Times New Roman" w:hAnsi="Times New Roman"/>
          <w:noProof/>
          <w:sz w:val="16"/>
          <w:szCs w:val="16"/>
          <w:lang w:val="ru-RU"/>
        </w:rPr>
        <w:t>№</w:t>
      </w:r>
      <w:r w:rsidRPr="00D5489F">
        <w:rPr>
          <w:rFonts w:ascii="Times New Roman" w:hAnsi="Times New Roman"/>
          <w:noProof/>
          <w:sz w:val="16"/>
          <w:szCs w:val="16"/>
          <w:lang w:val="ru-RU"/>
        </w:rPr>
        <w:t xml:space="preserve"> </w:t>
      </w:r>
      <w:r w:rsidR="00A80034" w:rsidRPr="00D5489F">
        <w:rPr>
          <w:rFonts w:ascii="Times New Roman" w:hAnsi="Times New Roman"/>
          <w:noProof/>
          <w:sz w:val="16"/>
          <w:szCs w:val="16"/>
          <w:lang w:val="ru-RU"/>
        </w:rPr>
        <w:t>290.</w:t>
      </w:r>
    </w:p>
    <w:p w:rsidR="003A100C" w:rsidRPr="00D5489F" w:rsidRDefault="003A100C" w:rsidP="003A100C">
      <w:pPr>
        <w:shd w:val="clear" w:color="auto" w:fill="FFFFFF"/>
        <w:rPr>
          <w:rFonts w:ascii="Times New Roman" w:hAnsi="Times New Roman"/>
          <w:noProof/>
          <w:sz w:val="16"/>
          <w:szCs w:val="16"/>
          <w:lang w:val="ru-RU"/>
        </w:rPr>
      </w:pPr>
    </w:p>
    <w:tbl>
      <w:tblPr>
        <w:tblW w:w="5103" w:type="pct"/>
        <w:tblInd w:w="-34" w:type="dxa"/>
        <w:tblLook w:val="04A0" w:firstRow="1" w:lastRow="0" w:firstColumn="1" w:lastColumn="0" w:noHBand="0" w:noVBand="1"/>
      </w:tblPr>
      <w:tblGrid>
        <w:gridCol w:w="285"/>
        <w:gridCol w:w="21294"/>
      </w:tblGrid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7877B1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1</w:t>
            </w:r>
          </w:p>
        </w:tc>
        <w:tc>
          <w:tcPr>
            <w:tcW w:w="4934" w:type="pct"/>
            <w:hideMark/>
          </w:tcPr>
          <w:p w:rsidR="007877B1" w:rsidRPr="00D5489F" w:rsidRDefault="008D5393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код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бюджету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згідно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довідником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місцевих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бюджетів,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затвердженим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наказом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Мінфіну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28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грудня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2009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1539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(в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редакції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наказу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Мінфіну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червня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2022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7877B1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163).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shd w:val="clear" w:color="auto" w:fill="FFFFFF"/>
          </w:tcPr>
          <w:p w:rsidR="00384872" w:rsidRPr="00D5489F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2</w:t>
            </w:r>
          </w:p>
        </w:tc>
        <w:tc>
          <w:tcPr>
            <w:tcW w:w="4934" w:type="pct"/>
            <w:shd w:val="clear" w:color="auto" w:fill="FFFFFF"/>
          </w:tcPr>
          <w:p w:rsidR="00384872" w:rsidRPr="00D5489F" w:rsidRDefault="00384872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органу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місцевого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самоврядування,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яким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встановлюються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ставки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місцевих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податків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та/або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зборів,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які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застосовувати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муть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наступного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бюджетного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періоду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(якщо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таким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є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прийняте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минулих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роках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якого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вносилися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зміни,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таке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базове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рішення).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дата,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якої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застосовують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дата,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визначена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базовому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рішенні,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-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зміни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нього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не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вносилися,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рішенні,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вносилися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зміни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щодо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D6D1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ставок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).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така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збігається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датою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набрання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чинності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рішенням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(зокрема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рішенням,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вносилися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зміни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базового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рішення),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дата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набрання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чинності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таким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рішенням.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</w:tcPr>
          <w:p w:rsidR="000D6390" w:rsidRPr="00D5489F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3</w:t>
            </w:r>
          </w:p>
        </w:tc>
        <w:tc>
          <w:tcPr>
            <w:tcW w:w="4934" w:type="pct"/>
          </w:tcPr>
          <w:p w:rsidR="000D6390" w:rsidRPr="00D5489F" w:rsidRDefault="000D6390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Інформація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разі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прийняття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рішень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органами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місцевого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самоврядування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створення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територіальної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громади,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якщо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ці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рішення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є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чинними.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</w:tcPr>
          <w:p w:rsidR="000D6390" w:rsidRPr="00D5489F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4</w:t>
            </w:r>
          </w:p>
        </w:tc>
        <w:tc>
          <w:tcPr>
            <w:tcW w:w="4934" w:type="pct"/>
          </w:tcPr>
          <w:p w:rsidR="000D6390" w:rsidRPr="00D5489F" w:rsidRDefault="000D6390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Кількість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рядків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може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бути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збільшена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необхідності.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5</w:t>
            </w:r>
          </w:p>
        </w:tc>
        <w:tc>
          <w:tcPr>
            <w:tcW w:w="4934" w:type="pct"/>
            <w:hideMark/>
          </w:tcPr>
          <w:p w:rsidR="00A47688" w:rsidRPr="00D5489F" w:rsidRDefault="007877B1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Вид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ділянок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згідно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59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Порядку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ведення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Державного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кадастру,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затвердженого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постановою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Кабінету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Міністрів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17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жовтня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2012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br/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1051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(Офіційний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вісник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2012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89,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3598;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2021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65,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4117).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Додатковий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разі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необхідності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для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певного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коду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встановити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додаткову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ставку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(наприклад,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для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земельних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ділянок,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які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мають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певні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ознаки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умови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користування,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ставку,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яка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поряд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основною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ставкою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діє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протягом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обмеженого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періоду).</w:t>
            </w:r>
            <w:r w:rsidR="00DA20CA" w:rsidRPr="00735639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такому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разі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рядком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потрібним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новий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рядок,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графі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такий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самий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графі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додатковий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цифровому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форматі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хх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починаючи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01,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графі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найменування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-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опис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особливостей,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згідно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якими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встановлюється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окрема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ставка.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Для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додаткових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рядків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заповнення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графи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“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код</w:t>
            </w:r>
            <w:r w:rsidR="00394889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”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обов’язкове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6</w:t>
            </w:r>
          </w:p>
        </w:tc>
        <w:tc>
          <w:tcPr>
            <w:tcW w:w="4934" w:type="pct"/>
            <w:hideMark/>
          </w:tcPr>
          <w:p w:rsidR="007877B1" w:rsidRPr="00D5489F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податку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встановлюються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урахуванням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норм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підпункту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12.3.7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пункту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12.3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статті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12,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пункту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30.2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статті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30,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статей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274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277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Податкового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кодексу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десятковим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дробом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із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трьома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разі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потреби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чотирма)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десятковими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знаками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після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коми.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7</w:t>
            </w:r>
          </w:p>
        </w:tc>
        <w:tc>
          <w:tcPr>
            <w:tcW w:w="4934" w:type="pct"/>
            <w:hideMark/>
          </w:tcPr>
          <w:p w:rsidR="007877B1" w:rsidRPr="00D5489F" w:rsidRDefault="007877B1" w:rsidP="00702253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ділянки,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що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класифікуються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02253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відповідним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02253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702253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виду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цільового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призначення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ділянок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згідно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додатком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59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Порядку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ведення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Державного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кадастру,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затвердженого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постановою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Кабінету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Міністрів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17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жовтня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2012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1051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(Офіційний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вісник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2012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89,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3598;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2021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65,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6D7738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4117)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звільняються/можуть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звільнятися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повністю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частково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оподаткування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податком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відповідно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норм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статей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="005162B7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281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-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283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Податкового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кодексу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України.</w:t>
            </w:r>
          </w:p>
        </w:tc>
      </w:tr>
      <w:tr w:rsidR="00B0714F" w:rsidRPr="00D5489F" w:rsidTr="00DA20CA">
        <w:trPr>
          <w:trHeight w:val="20"/>
        </w:trPr>
        <w:tc>
          <w:tcPr>
            <w:tcW w:w="66" w:type="pct"/>
            <w:hideMark/>
          </w:tcPr>
          <w:p w:rsidR="007877B1" w:rsidRPr="00D5489F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8</w:t>
            </w:r>
          </w:p>
        </w:tc>
        <w:tc>
          <w:tcPr>
            <w:tcW w:w="4934" w:type="pct"/>
            <w:hideMark/>
          </w:tcPr>
          <w:p w:rsidR="007877B1" w:rsidRPr="00D5489F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категорія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або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інші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ознаки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земельних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ділянок,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для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яких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встановлюються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</w:t>
            </w:r>
            <w:r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ставки.</w:t>
            </w:r>
            <w:r w:rsidR="00DA20CA" w:rsidRPr="00D5489F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  </w:t>
            </w:r>
          </w:p>
        </w:tc>
      </w:tr>
    </w:tbl>
    <w:p w:rsidR="007877B1" w:rsidRDefault="007877B1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p w:rsidR="00F547F4" w:rsidRPr="004F35CB" w:rsidRDefault="00F547F4" w:rsidP="001E7C89">
      <w:pPr>
        <w:shd w:val="clear" w:color="auto" w:fill="FFFFFF"/>
        <w:rPr>
          <w:rFonts w:ascii="Calibri" w:hAnsi="Calibri"/>
          <w:noProof/>
          <w:sz w:val="20"/>
          <w:lang w:val="ru-RU"/>
        </w:rPr>
      </w:pPr>
    </w:p>
    <w:tbl>
      <w:tblPr>
        <w:tblW w:w="21461" w:type="dxa"/>
        <w:tblInd w:w="85" w:type="dxa"/>
        <w:tblLook w:val="04A0" w:firstRow="1" w:lastRow="0" w:firstColumn="1" w:lastColumn="0" w:noHBand="0" w:noVBand="1"/>
      </w:tblPr>
      <w:tblGrid>
        <w:gridCol w:w="7995"/>
        <w:gridCol w:w="811"/>
        <w:gridCol w:w="3016"/>
        <w:gridCol w:w="1134"/>
        <w:gridCol w:w="8505"/>
      </w:tblGrid>
      <w:tr w:rsidR="007877B1" w:rsidRPr="00C449E5" w:rsidTr="00DA20CA">
        <w:trPr>
          <w:trHeight w:val="390"/>
        </w:trPr>
        <w:tc>
          <w:tcPr>
            <w:tcW w:w="7995" w:type="dxa"/>
            <w:hideMark/>
          </w:tcPr>
          <w:p w:rsidR="007877B1" w:rsidRPr="00A33A04" w:rsidRDefault="00F547F4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 w:rsidRPr="00A33A04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Сільський голова</w:t>
            </w:r>
          </w:p>
        </w:tc>
        <w:tc>
          <w:tcPr>
            <w:tcW w:w="811" w:type="dxa"/>
            <w:hideMark/>
          </w:tcPr>
          <w:p w:rsidR="007877B1" w:rsidRPr="00C449E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016" w:type="dxa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  <w:t>____________________</w:t>
            </w:r>
          </w:p>
          <w:p w:rsidR="007877B1" w:rsidRPr="00C449E5" w:rsidRDefault="007877B1" w:rsidP="001E7C89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134" w:type="dxa"/>
            <w:noWrap/>
            <w:hideMark/>
          </w:tcPr>
          <w:p w:rsidR="007877B1" w:rsidRPr="00C449E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8505" w:type="dxa"/>
            <w:noWrap/>
            <w:hideMark/>
          </w:tcPr>
          <w:p w:rsidR="007877B1" w:rsidRPr="00F547F4" w:rsidRDefault="00F547F4" w:rsidP="001E7C89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</w:pPr>
            <w:r w:rsidRPr="00F547F4"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Олексій ГРИЩЕНКО</w:t>
            </w:r>
          </w:p>
          <w:p w:rsidR="007877B1" w:rsidRPr="00C5731E" w:rsidRDefault="007877B1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  <w:r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(власне</w:t>
            </w:r>
            <w:r w:rsidR="00DA20CA"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ім’я,</w:t>
            </w:r>
            <w:r w:rsidR="00DA20CA"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C5731E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прізвище)</w:t>
            </w:r>
          </w:p>
        </w:tc>
      </w:tr>
    </w:tbl>
    <w:p w:rsidR="00DC64C3" w:rsidRPr="00C5731E" w:rsidRDefault="00DC64C3" w:rsidP="00DA20CA">
      <w:pPr>
        <w:pStyle w:val="3"/>
        <w:shd w:val="clear" w:color="auto" w:fill="FFFFFF"/>
        <w:spacing w:before="240"/>
        <w:ind w:left="0"/>
        <w:rPr>
          <w:i w:val="0"/>
          <w:noProof/>
          <w:sz w:val="2"/>
          <w:szCs w:val="2"/>
          <w:lang w:val="ru-RU"/>
        </w:rPr>
      </w:pPr>
    </w:p>
    <w:sectPr w:rsidR="00DC64C3" w:rsidRPr="00C5731E" w:rsidSect="00DA20CA">
      <w:headerReference w:type="even" r:id="rId7"/>
      <w:headerReference w:type="default" r:id="rId8"/>
      <w:pgSz w:w="23808" w:h="16840" w:orient="landscape" w:code="8"/>
      <w:pgMar w:top="1134" w:right="1134" w:bottom="1531" w:left="153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F5" w:rsidRDefault="001B67F5">
      <w:r>
        <w:separator/>
      </w:r>
    </w:p>
  </w:endnote>
  <w:endnote w:type="continuationSeparator" w:id="0">
    <w:p w:rsidR="001B67F5" w:rsidRDefault="001B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F5" w:rsidRDefault="001B67F5">
      <w:r>
        <w:separator/>
      </w:r>
    </w:p>
  </w:footnote>
  <w:footnote w:type="continuationSeparator" w:id="0">
    <w:p w:rsidR="001B67F5" w:rsidRDefault="001B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7F5" w:rsidRDefault="001B67F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B67F5" w:rsidRDefault="001B67F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764344"/>
      <w:docPartObj>
        <w:docPartGallery w:val="Page Numbers (Top of Page)"/>
        <w:docPartUnique/>
      </w:docPartObj>
    </w:sdtPr>
    <w:sdtContent>
      <w:p w:rsidR="001B67F5" w:rsidRDefault="001B67F5" w:rsidP="00DA20CA">
        <w:pPr>
          <w:pStyle w:val="a7"/>
        </w:pPr>
      </w:p>
    </w:sdtContent>
  </w:sdt>
  <w:p w:rsidR="001B67F5" w:rsidRPr="00DA20CA" w:rsidRDefault="001B67F5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37515"/>
    <w:rsid w:val="000468C8"/>
    <w:rsid w:val="00047607"/>
    <w:rsid w:val="0005290C"/>
    <w:rsid w:val="00057313"/>
    <w:rsid w:val="00060D3D"/>
    <w:rsid w:val="00063D9F"/>
    <w:rsid w:val="00070A0A"/>
    <w:rsid w:val="00070EC7"/>
    <w:rsid w:val="00071535"/>
    <w:rsid w:val="00073504"/>
    <w:rsid w:val="0007542F"/>
    <w:rsid w:val="00080623"/>
    <w:rsid w:val="000812C6"/>
    <w:rsid w:val="00081985"/>
    <w:rsid w:val="00081A6A"/>
    <w:rsid w:val="000839BE"/>
    <w:rsid w:val="00083E83"/>
    <w:rsid w:val="0008564E"/>
    <w:rsid w:val="00085A64"/>
    <w:rsid w:val="00085C83"/>
    <w:rsid w:val="00095A57"/>
    <w:rsid w:val="00096DE1"/>
    <w:rsid w:val="000A1CEE"/>
    <w:rsid w:val="000A3B89"/>
    <w:rsid w:val="000B549E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4A4F"/>
    <w:rsid w:val="00144DF9"/>
    <w:rsid w:val="00152465"/>
    <w:rsid w:val="001555E2"/>
    <w:rsid w:val="001632B0"/>
    <w:rsid w:val="001706FF"/>
    <w:rsid w:val="0017322B"/>
    <w:rsid w:val="00187CD3"/>
    <w:rsid w:val="00195EBA"/>
    <w:rsid w:val="001975BC"/>
    <w:rsid w:val="001A168E"/>
    <w:rsid w:val="001A240A"/>
    <w:rsid w:val="001A5FC5"/>
    <w:rsid w:val="001A6DD2"/>
    <w:rsid w:val="001A7521"/>
    <w:rsid w:val="001B67F5"/>
    <w:rsid w:val="001B7A0D"/>
    <w:rsid w:val="001C476E"/>
    <w:rsid w:val="001C6B87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776ED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578A"/>
    <w:rsid w:val="003A6DCB"/>
    <w:rsid w:val="003C015A"/>
    <w:rsid w:val="003C0D73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1BB2"/>
    <w:rsid w:val="004E7899"/>
    <w:rsid w:val="004F0A5A"/>
    <w:rsid w:val="004F13F5"/>
    <w:rsid w:val="004F2883"/>
    <w:rsid w:val="004F2A35"/>
    <w:rsid w:val="004F2C2F"/>
    <w:rsid w:val="004F3128"/>
    <w:rsid w:val="004F35CB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C740F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5639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54C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17EB9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3996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1E10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33A04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2E45"/>
    <w:rsid w:val="00B8422B"/>
    <w:rsid w:val="00B849C6"/>
    <w:rsid w:val="00B96FFA"/>
    <w:rsid w:val="00B97B90"/>
    <w:rsid w:val="00BA1864"/>
    <w:rsid w:val="00BA5348"/>
    <w:rsid w:val="00BA56D7"/>
    <w:rsid w:val="00BA6EC7"/>
    <w:rsid w:val="00BB0062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56B8"/>
    <w:rsid w:val="00C26ABD"/>
    <w:rsid w:val="00C34DC0"/>
    <w:rsid w:val="00C36385"/>
    <w:rsid w:val="00C449E5"/>
    <w:rsid w:val="00C45900"/>
    <w:rsid w:val="00C45A8D"/>
    <w:rsid w:val="00C52414"/>
    <w:rsid w:val="00C53ACA"/>
    <w:rsid w:val="00C56450"/>
    <w:rsid w:val="00C5731E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D792F"/>
    <w:rsid w:val="00CE020E"/>
    <w:rsid w:val="00CE183F"/>
    <w:rsid w:val="00CE57FC"/>
    <w:rsid w:val="00CE6F0D"/>
    <w:rsid w:val="00CF0889"/>
    <w:rsid w:val="00CF2265"/>
    <w:rsid w:val="00CF3571"/>
    <w:rsid w:val="00D13E09"/>
    <w:rsid w:val="00D2250A"/>
    <w:rsid w:val="00D23747"/>
    <w:rsid w:val="00D3542D"/>
    <w:rsid w:val="00D36F34"/>
    <w:rsid w:val="00D37C0A"/>
    <w:rsid w:val="00D41BAE"/>
    <w:rsid w:val="00D42926"/>
    <w:rsid w:val="00D47F25"/>
    <w:rsid w:val="00D5489F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162C"/>
    <w:rsid w:val="00DA20CA"/>
    <w:rsid w:val="00DA4397"/>
    <w:rsid w:val="00DC0C68"/>
    <w:rsid w:val="00DC1550"/>
    <w:rsid w:val="00DC2975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27DFB"/>
    <w:rsid w:val="00E303C5"/>
    <w:rsid w:val="00E32B42"/>
    <w:rsid w:val="00E32ED8"/>
    <w:rsid w:val="00E40CA1"/>
    <w:rsid w:val="00E42AC9"/>
    <w:rsid w:val="00E51A45"/>
    <w:rsid w:val="00E52532"/>
    <w:rsid w:val="00E62F63"/>
    <w:rsid w:val="00E7253E"/>
    <w:rsid w:val="00E834D7"/>
    <w:rsid w:val="00E85B9D"/>
    <w:rsid w:val="00E903B0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E6531"/>
    <w:rsid w:val="00EF4912"/>
    <w:rsid w:val="00F062C2"/>
    <w:rsid w:val="00F161DF"/>
    <w:rsid w:val="00F23773"/>
    <w:rsid w:val="00F25079"/>
    <w:rsid w:val="00F26EF0"/>
    <w:rsid w:val="00F32DAB"/>
    <w:rsid w:val="00F46267"/>
    <w:rsid w:val="00F504D4"/>
    <w:rsid w:val="00F547F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08C0"/>
    <w:rsid w:val="00FF1AB8"/>
    <w:rsid w:val="00FF21A7"/>
    <w:rsid w:val="00FF5319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8D1FD"/>
  <w15:docId w15:val="{98B7A05E-63C6-44BF-B0CE-8B3E03AF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A6DE-2436-4167-AEBF-36E69CC5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4404</Words>
  <Characters>26665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31007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2025-07-17T06:39:00Z</cp:lastPrinted>
  <dcterms:created xsi:type="dcterms:W3CDTF">2026-05-20T11:19:00Z</dcterms:created>
  <dcterms:modified xsi:type="dcterms:W3CDTF">2026-05-20T12:00:00Z</dcterms:modified>
</cp:coreProperties>
</file>