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CB" w:rsidRPr="00092E19" w:rsidRDefault="004F35CB" w:rsidP="004F35CB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Додаток </w:t>
      </w:r>
    </w:p>
    <w:p w:rsidR="004F35CB" w:rsidRPr="00092E19" w:rsidRDefault="004F35CB" w:rsidP="004F35CB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>до рішення Богданівської сільської ради</w:t>
      </w:r>
    </w:p>
    <w:p w:rsidR="00735639" w:rsidRDefault="004F35CB" w:rsidP="00735639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>«</w:t>
      </w:r>
      <w:r w:rsidR="00735639" w:rsidRPr="00735639">
        <w:rPr>
          <w:rFonts w:ascii="Times New Roman" w:hAnsi="Times New Roman"/>
          <w:i/>
          <w:noProof/>
          <w:sz w:val="24"/>
          <w:szCs w:val="24"/>
          <w:lang w:val="ru-RU" w:eastAsia="uk-UA"/>
        </w:rPr>
        <w:t>Про встановлення ставок та пі</w:t>
      </w:r>
      <w:r w:rsidR="00735639">
        <w:rPr>
          <w:rFonts w:ascii="Times New Roman" w:hAnsi="Times New Roman"/>
          <w:i/>
          <w:noProof/>
          <w:sz w:val="24"/>
          <w:szCs w:val="24"/>
          <w:lang w:val="ru-RU" w:eastAsia="uk-UA"/>
        </w:rPr>
        <w:t>льг із сплати земельного податку</w:t>
      </w:r>
    </w:p>
    <w:p w:rsidR="004F35CB" w:rsidRPr="00092E19" w:rsidRDefault="00735639" w:rsidP="00735639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735639">
        <w:rPr>
          <w:rFonts w:ascii="Times New Roman" w:hAnsi="Times New Roman"/>
          <w:i/>
          <w:noProof/>
          <w:sz w:val="24"/>
          <w:szCs w:val="24"/>
          <w:lang w:val="ru-RU" w:eastAsia="uk-UA"/>
        </w:rPr>
        <w:t>на території Богданівської сільської територіальної громади</w:t>
      </w:r>
      <w:r w:rsidR="004F35CB"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» </w:t>
      </w:r>
    </w:p>
    <w:p w:rsidR="004F35CB" w:rsidRDefault="004F35CB" w:rsidP="004F35CB">
      <w:pPr>
        <w:pStyle w:val="ae"/>
        <w:shd w:val="clear" w:color="auto" w:fill="FFFFFF"/>
        <w:jc w:val="right"/>
        <w:rPr>
          <w:rFonts w:ascii="Times New Roman" w:hAnsi="Times New Roman"/>
          <w:noProof/>
          <w:sz w:val="28"/>
          <w:szCs w:val="28"/>
          <w:lang w:eastAsia="uk-UA"/>
        </w:rPr>
      </w:pP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>№</w:t>
      </w:r>
      <w:r w:rsidR="00A33A04">
        <w:rPr>
          <w:rFonts w:ascii="Times New Roman" w:hAnsi="Times New Roman"/>
          <w:i/>
          <w:noProof/>
          <w:sz w:val="24"/>
          <w:szCs w:val="24"/>
          <w:lang w:val="ru-RU" w:eastAsia="uk-UA"/>
        </w:rPr>
        <w:t>1924-63/</w:t>
      </w:r>
      <w:r w:rsidR="00A33A04">
        <w:rPr>
          <w:rFonts w:ascii="Times New Roman" w:hAnsi="Times New Roman"/>
          <w:i/>
          <w:noProof/>
          <w:sz w:val="24"/>
          <w:szCs w:val="24"/>
          <w:lang w:val="en-US" w:eastAsia="uk-UA"/>
        </w:rPr>
        <w:t>VIII</w:t>
      </w:r>
      <w:r w:rsidR="00A33A04" w:rsidRPr="00057313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 </w:t>
      </w: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від </w:t>
      </w:r>
      <w:r w:rsidR="00A33A04" w:rsidRPr="00057313">
        <w:rPr>
          <w:rFonts w:ascii="Times New Roman" w:hAnsi="Times New Roman"/>
          <w:i/>
          <w:noProof/>
          <w:sz w:val="24"/>
          <w:szCs w:val="24"/>
          <w:lang w:val="ru-RU" w:eastAsia="uk-UA"/>
        </w:rPr>
        <w:t>14.07.</w:t>
      </w: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>2025року</w:t>
      </w:r>
    </w:p>
    <w:p w:rsidR="007877B1" w:rsidRPr="00057313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ru-RU" w:eastAsia="uk-UA"/>
        </w:rPr>
      </w:pPr>
      <w:r w:rsidRPr="00057313">
        <w:rPr>
          <w:rFonts w:ascii="Times New Roman" w:hAnsi="Times New Roman"/>
          <w:noProof/>
          <w:sz w:val="28"/>
          <w:szCs w:val="28"/>
          <w:lang w:val="ru-RU" w:eastAsia="uk-UA"/>
        </w:rPr>
        <w:t>СТАВКИ</w:t>
      </w:r>
      <w:r w:rsidR="00DA20CA" w:rsidRPr="00057313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057313">
        <w:rPr>
          <w:rFonts w:ascii="Times New Roman" w:hAnsi="Times New Roman"/>
          <w:noProof/>
          <w:sz w:val="28"/>
          <w:szCs w:val="28"/>
          <w:lang w:val="ru-RU" w:eastAsia="uk-UA"/>
        </w:rPr>
        <w:br/>
        <w:t>земельного</w:t>
      </w:r>
      <w:r w:rsidR="00DA20CA" w:rsidRPr="00057313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057313">
        <w:rPr>
          <w:rFonts w:ascii="Times New Roman" w:hAnsi="Times New Roman"/>
          <w:noProof/>
          <w:sz w:val="28"/>
          <w:szCs w:val="28"/>
          <w:lang w:val="ru-RU" w:eastAsia="uk-UA"/>
        </w:rPr>
        <w:t>податку</w:t>
      </w:r>
    </w:p>
    <w:p w:rsidR="007877B1" w:rsidRPr="00057313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ru-RU" w:eastAsia="uk-UA"/>
        </w:rPr>
      </w:pPr>
    </w:p>
    <w:tbl>
      <w:tblPr>
        <w:tblW w:w="21561" w:type="dxa"/>
        <w:tblInd w:w="93" w:type="dxa"/>
        <w:tblLook w:val="04A0" w:firstRow="1" w:lastRow="0" w:firstColumn="1" w:lastColumn="0" w:noHBand="0" w:noVBand="1"/>
      </w:tblPr>
      <w:tblGrid>
        <w:gridCol w:w="1149"/>
        <w:gridCol w:w="1276"/>
        <w:gridCol w:w="580"/>
        <w:gridCol w:w="838"/>
        <w:gridCol w:w="1450"/>
        <w:gridCol w:w="236"/>
        <w:gridCol w:w="2424"/>
        <w:gridCol w:w="1764"/>
        <w:gridCol w:w="1355"/>
        <w:gridCol w:w="2551"/>
        <w:gridCol w:w="7938"/>
      </w:tblGrid>
      <w:tr w:rsidR="00941966" w:rsidRPr="00C449E5" w:rsidTr="002776ED">
        <w:trPr>
          <w:gridAfter w:val="6"/>
          <w:wAfter w:w="16268" w:type="dxa"/>
          <w:trHeight w:val="375"/>
        </w:trPr>
        <w:tc>
          <w:tcPr>
            <w:tcW w:w="3005" w:type="dxa"/>
            <w:gridSpan w:val="3"/>
            <w:hideMark/>
          </w:tcPr>
          <w:p w:rsidR="00941966" w:rsidRPr="00C449E5" w:rsidRDefault="00941966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бюджету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2288" w:type="dxa"/>
            <w:gridSpan w:val="2"/>
            <w:hideMark/>
          </w:tcPr>
          <w:p w:rsidR="00941966" w:rsidRPr="00C449E5" w:rsidRDefault="00DA20C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 xml:space="preserve"> </w:t>
            </w:r>
            <w:r w:rsidR="002776ED" w:rsidRPr="002776E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>0450200000</w:t>
            </w:r>
          </w:p>
        </w:tc>
      </w:tr>
      <w:tr w:rsidR="002776ED" w:rsidRPr="00C449E5" w:rsidTr="002776ED">
        <w:trPr>
          <w:gridAfter w:val="6"/>
          <w:wAfter w:w="16268" w:type="dxa"/>
          <w:trHeight w:val="375"/>
        </w:trPr>
        <w:tc>
          <w:tcPr>
            <w:tcW w:w="3005" w:type="dxa"/>
            <w:gridSpan w:val="3"/>
          </w:tcPr>
          <w:p w:rsidR="002776ED" w:rsidRPr="00C449E5" w:rsidRDefault="002776ED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2288" w:type="dxa"/>
            <w:gridSpan w:val="2"/>
          </w:tcPr>
          <w:p w:rsidR="002776ED" w:rsidRPr="00C449E5" w:rsidRDefault="002776E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</w:pPr>
          </w:p>
        </w:tc>
      </w:tr>
      <w:tr w:rsidR="004F35CB" w:rsidRPr="0005144A" w:rsidTr="002776ED">
        <w:trPr>
          <w:trHeight w:val="300"/>
        </w:trPr>
        <w:tc>
          <w:tcPr>
            <w:tcW w:w="55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Рішення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5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Орган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місцевого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самоврядування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що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прийняв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рішення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10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Адміністративно-територіальні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одиниці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, для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яких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встановлені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ставки</w:t>
            </w:r>
          </w:p>
        </w:tc>
      </w:tr>
      <w:tr w:rsidR="004F35CB" w:rsidRPr="0005144A" w:rsidTr="002776ED">
        <w:trPr>
          <w:trHeight w:val="300"/>
        </w:trPr>
        <w:tc>
          <w:tcPr>
            <w:tcW w:w="55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0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</w:tr>
      <w:tr w:rsidR="004F35CB" w:rsidRPr="0005144A" w:rsidTr="002776ED">
        <w:trPr>
          <w:trHeight w:val="13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 xml:space="preserve">дата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дата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набрання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чинності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дата, з якої застосовуються ставки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код згідно з КАТОТТГ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назва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код згідно з ЄДРПОУ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код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згідно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з КАТОТТГ 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назва</w:t>
            </w:r>
          </w:p>
        </w:tc>
      </w:tr>
      <w:tr w:rsidR="004F35CB" w:rsidRPr="0005144A" w:rsidTr="002776ED">
        <w:trPr>
          <w:trHeight w:val="8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02.01.2026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Богданівка у складі Богданівської сільської територіальної громади у Павлоградському районі у Дніпропетровській області, адміністративний центр територіальної громади</w:t>
            </w:r>
          </w:p>
        </w:tc>
      </w:tr>
      <w:tr w:rsidR="004F35CB" w:rsidRPr="0005144A" w:rsidTr="002776ED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03.01.2026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Зелене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6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04.01.2026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село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Мерцалівка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4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05.01.2026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Самарське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06.01.2026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Богуслав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07.01.2026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Нова Русь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08.01.2026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село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Мар"ївка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6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09.01.2026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село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Кохівка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6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10.01.2026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Нова Дача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4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11.01.2026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Шахтарське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</w:tbl>
    <w:p w:rsidR="004F35CB" w:rsidRPr="007B57FE" w:rsidRDefault="004F35CB" w:rsidP="004F35CB">
      <w:pPr>
        <w:shd w:val="clear" w:color="auto" w:fill="FFFFFF"/>
        <w:rPr>
          <w:rFonts w:ascii="Calibri" w:hAnsi="Calibri"/>
          <w:noProof/>
        </w:rPr>
      </w:pPr>
    </w:p>
    <w:p w:rsidR="00941966" w:rsidRPr="004F35CB" w:rsidRDefault="00941966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eastAsia="uk-UA"/>
        </w:rPr>
      </w:pPr>
    </w:p>
    <w:p w:rsidR="004D3ABB" w:rsidRPr="004F35CB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</w:rPr>
      </w:pPr>
    </w:p>
    <w:tbl>
      <w:tblPr>
        <w:tblW w:w="5162" w:type="pct"/>
        <w:tblLook w:val="04A0" w:firstRow="1" w:lastRow="0" w:firstColumn="1" w:lastColumn="0" w:noHBand="0" w:noVBand="1"/>
      </w:tblPr>
      <w:tblGrid>
        <w:gridCol w:w="772"/>
        <w:gridCol w:w="1257"/>
        <w:gridCol w:w="4838"/>
        <w:gridCol w:w="1248"/>
        <w:gridCol w:w="1169"/>
        <w:gridCol w:w="1248"/>
        <w:gridCol w:w="1036"/>
        <w:gridCol w:w="1451"/>
        <w:gridCol w:w="1248"/>
        <w:gridCol w:w="1354"/>
        <w:gridCol w:w="1036"/>
        <w:gridCol w:w="1363"/>
        <w:gridCol w:w="1248"/>
        <w:gridCol w:w="22"/>
        <w:gridCol w:w="1341"/>
        <w:gridCol w:w="1420"/>
      </w:tblGrid>
      <w:tr w:rsidR="007877B1" w:rsidRPr="00C449E5" w:rsidTr="00C449E5">
        <w:trPr>
          <w:trHeight w:val="20"/>
          <w:tblHeader/>
        </w:trPr>
        <w:tc>
          <w:tcPr>
            <w:tcW w:w="1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Вид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0D6390"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5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  <w:tc>
          <w:tcPr>
            <w:tcW w:w="2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перебувають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постійному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користуванні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</w:tr>
      <w:tr w:rsidR="007877B1" w:rsidRPr="00C449E5" w:rsidTr="001975BC">
        <w:trPr>
          <w:trHeight w:val="20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CA0787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12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</w:tr>
      <w:tr w:rsidR="007877B1" w:rsidRPr="00C449E5" w:rsidTr="001975BC">
        <w:trPr>
          <w:trHeight w:val="2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7877B1" w:rsidRPr="00C449E5" w:rsidTr="001975BC">
        <w:trPr>
          <w:trHeight w:val="20"/>
          <w:tblHeader/>
        </w:trPr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C5731E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C449E5" w:rsidRDefault="00C5731E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4F35CB" w:rsidRDefault="00C5731E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товарного сільськогосподарського виробництва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C5731E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C449E5" w:rsidRDefault="00C5731E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DC2975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особистого селянського господарства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DC2975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підсобного сільського господарства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DC2975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сінокосіння і випасання худоби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E42AC9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highlight w:val="yellow"/>
                <w:lang w:val="ru-RU" w:eastAsia="uk-UA"/>
              </w:rPr>
            </w:pPr>
            <w:r w:rsidRPr="00FF08C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1975BC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1975BC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1975BC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FF531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C449E5" w:rsidRDefault="00C5731E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житлової забудови</w:t>
            </w:r>
          </w:p>
        </w:tc>
      </w:tr>
      <w:tr w:rsidR="00DC2975" w:rsidRPr="00C449E5" w:rsidTr="007A654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7A65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7A65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7A65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02.01 - 02.07, 02.09 - 02.12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Земельні ділянки загального користування, які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використовуються як внутрішньоквартальні проїзди, пішохідні зони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громадської забудови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освіти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4F35CB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природних заповідників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національних природних парків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ботанічних садів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04.05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4F35CB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 іншого природоохоронного призначення</w:t>
            </w:r>
          </w:p>
        </w:tc>
      </w:tr>
      <w:tr w:rsidR="00E42AC9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C5731E" w:rsidRPr="00C449E5" w:rsidTr="0096399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4F35CB" w:rsidRDefault="00C5731E" w:rsidP="003948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санаторно-оздоровчих закладів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цілей підрозділів 06.01 - 06.03, 06.05 та для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06.05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рекреаційного призначення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4F35CB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963996" w:rsidRPr="00C449E5" w:rsidTr="00021D1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021D1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41373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08.03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41373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41373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C449E5" w:rsidRDefault="00C5731E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C449E5" w:rsidRDefault="00C5731E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водного фонду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експлуатації та догляду за гідротехнічними,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іншими водогосподарськими спорудами і каналами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10.05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промисловості</w:t>
            </w:r>
          </w:p>
        </w:tc>
      </w:tr>
      <w:tr w:rsidR="00963996" w:rsidRPr="00C449E5" w:rsidTr="0096399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експлуатації основних,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11.03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2374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2374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2374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E0320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1E6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транспорту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розміщення та експлуатації будівель і споруд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автомобільного транспорту та дорожнього господарства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12.05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4E1BB2" w:rsidRPr="00C449E5" w:rsidTr="00D5489F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5489F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5489F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BC492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13.04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цілей підрозділів 13.01  </w:t>
            </w:r>
            <w:r w:rsidRPr="004F35C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13.03, 13.05  </w:t>
            </w:r>
            <w:r w:rsidRPr="004F35C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BC492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4E1BB2" w:rsidRPr="00C449E5" w:rsidTr="00BC492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енергетики</w:t>
            </w:r>
          </w:p>
        </w:tc>
      </w:tr>
      <w:tr w:rsidR="004E1BB2" w:rsidRPr="00C449E5" w:rsidTr="006C7C7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6C7C7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6C7C7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4E1BB2" w:rsidRPr="00C449E5" w:rsidTr="006C7C7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1E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4E1BB2" w:rsidRPr="00C449E5" w:rsidTr="006C7C7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4E1BB2" w:rsidRPr="00C449E5" w:rsidTr="006C7C7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1E6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оборони</w:t>
            </w:r>
          </w:p>
        </w:tc>
      </w:tr>
      <w:tr w:rsidR="005C740F" w:rsidRPr="00C449E5" w:rsidTr="00713A6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0F" w:rsidRPr="004F35CB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Збройних Сил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5C740F" w:rsidRPr="00C449E5" w:rsidTr="00713A6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0F" w:rsidRPr="00C449E5" w:rsidRDefault="005C740F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постійної діяльності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Національної гвардії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15.03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Служби безпеки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E56521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1E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</w:tbl>
    <w:p w:rsidR="005162B7" w:rsidRPr="00D5489F" w:rsidRDefault="00DA20CA" w:rsidP="003A100C">
      <w:pPr>
        <w:shd w:val="clear" w:color="auto" w:fill="FFFFFF"/>
        <w:rPr>
          <w:rFonts w:ascii="Times New Roman" w:hAnsi="Times New Roman"/>
          <w:noProof/>
          <w:sz w:val="16"/>
          <w:szCs w:val="16"/>
          <w:lang w:val="ru-RU"/>
        </w:rPr>
      </w:pPr>
      <w:r w:rsidRPr="004F35CB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__________ </w:t>
      </w:r>
      <w:r w:rsidRPr="004F35CB">
        <w:rPr>
          <w:rFonts w:ascii="Times New Roman" w:hAnsi="Times New Roman"/>
          <w:noProof/>
          <w:sz w:val="22"/>
          <w:szCs w:val="22"/>
          <w:lang w:val="ru-RU" w:eastAsia="uk-UA"/>
        </w:rPr>
        <w:br/>
      </w:r>
      <w:r w:rsidR="005162B7" w:rsidRPr="00D5489F">
        <w:rPr>
          <w:rFonts w:ascii="Times New Roman" w:hAnsi="Times New Roman"/>
          <w:noProof/>
          <w:sz w:val="16"/>
          <w:szCs w:val="16"/>
          <w:lang w:val="ru-RU" w:eastAsia="uk-UA"/>
        </w:rPr>
        <w:t>Примітка.</w:t>
      </w:r>
      <w:r w:rsidRPr="00D5489F">
        <w:rPr>
          <w:rFonts w:ascii="Times New Roman" w:hAnsi="Times New Roman"/>
          <w:noProof/>
          <w:sz w:val="16"/>
          <w:szCs w:val="16"/>
          <w:lang w:val="ru-RU" w:eastAsia="uk-UA"/>
        </w:rPr>
        <w:t xml:space="preserve"> </w:t>
      </w:r>
      <w:r w:rsidR="005162B7" w:rsidRPr="00D5489F">
        <w:rPr>
          <w:rFonts w:ascii="Times New Roman" w:hAnsi="Times New Roman"/>
          <w:noProof/>
          <w:spacing w:val="-4"/>
          <w:sz w:val="16"/>
          <w:szCs w:val="16"/>
          <w:lang w:val="ru-RU" w:eastAsia="uk-UA"/>
        </w:rPr>
        <w:t>КАТОТТГ</w:t>
      </w:r>
      <w:r w:rsidRPr="00D5489F">
        <w:rPr>
          <w:rFonts w:ascii="Times New Roman" w:hAnsi="Times New Roman"/>
          <w:noProof/>
          <w:spacing w:val="-4"/>
          <w:sz w:val="16"/>
          <w:szCs w:val="16"/>
          <w:lang w:val="ru-RU" w:eastAsia="uk-UA"/>
        </w:rPr>
        <w:t xml:space="preserve"> -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Кодифікатор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адміністративно-територіальних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одиниць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та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територій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територіальних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громад,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затверджений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наказом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Мінрегіону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від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26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листопада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2020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р.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A80034" w:rsidRPr="00D5489F">
        <w:rPr>
          <w:rFonts w:ascii="Times New Roman" w:hAnsi="Times New Roman"/>
          <w:noProof/>
          <w:sz w:val="16"/>
          <w:szCs w:val="16"/>
          <w:lang w:val="ru-RU"/>
        </w:rPr>
        <w:t>№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A80034" w:rsidRPr="00D5489F">
        <w:rPr>
          <w:rFonts w:ascii="Times New Roman" w:hAnsi="Times New Roman"/>
          <w:noProof/>
          <w:sz w:val="16"/>
          <w:szCs w:val="16"/>
          <w:lang w:val="ru-RU"/>
        </w:rPr>
        <w:t>290.</w:t>
      </w:r>
    </w:p>
    <w:p w:rsidR="003A100C" w:rsidRPr="00D5489F" w:rsidRDefault="003A100C" w:rsidP="003A100C">
      <w:pPr>
        <w:shd w:val="clear" w:color="auto" w:fill="FFFFFF"/>
        <w:rPr>
          <w:rFonts w:ascii="Times New Roman" w:hAnsi="Times New Roman"/>
          <w:noProof/>
          <w:sz w:val="16"/>
          <w:szCs w:val="16"/>
          <w:lang w:val="ru-RU"/>
        </w:rPr>
      </w:pPr>
    </w:p>
    <w:tbl>
      <w:tblPr>
        <w:tblW w:w="5103" w:type="pct"/>
        <w:tblInd w:w="-34" w:type="dxa"/>
        <w:tblLook w:val="04A0" w:firstRow="1" w:lastRow="0" w:firstColumn="1" w:lastColumn="0" w:noHBand="0" w:noVBand="1"/>
      </w:tblPr>
      <w:tblGrid>
        <w:gridCol w:w="288"/>
        <w:gridCol w:w="21511"/>
      </w:tblGrid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7877B1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1</w:t>
            </w:r>
          </w:p>
        </w:tc>
        <w:tc>
          <w:tcPr>
            <w:tcW w:w="4934" w:type="pct"/>
            <w:hideMark/>
          </w:tcPr>
          <w:p w:rsidR="007877B1" w:rsidRPr="00D5489F" w:rsidRDefault="008D5393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код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бюджету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згідно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довідником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бюджетів,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затвердженим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наказом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Мінфіну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28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грудня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2009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1539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(в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редакції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наказу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Мінфіну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червня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2022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163).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shd w:val="clear" w:color="auto" w:fill="FFFFFF"/>
          </w:tcPr>
          <w:p w:rsidR="00384872" w:rsidRPr="00D5489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2</w:t>
            </w:r>
          </w:p>
        </w:tc>
        <w:tc>
          <w:tcPr>
            <w:tcW w:w="4934" w:type="pct"/>
            <w:shd w:val="clear" w:color="auto" w:fill="FFFFFF"/>
          </w:tcPr>
          <w:p w:rsidR="00384872" w:rsidRPr="00D5489F" w:rsidRDefault="00384872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органу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самоврядування,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встановлюються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ставки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податків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та/або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зборів,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застосовувати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муть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наступного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бюджетного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періоду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(якщо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є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прийняте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минулих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роках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вносилися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зміни,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таке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базове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рішення).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якої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застосовують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визначена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базовому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рішенні,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-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зміни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нього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вносилися,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рішенні,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вносилися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зміни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щодо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ставок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).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збігається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датою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набрання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чинності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(зокрема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рішенням,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вносилися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зміни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базового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рішення),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набрання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чинності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рішенням.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lastRenderedPageBreak/>
              <w:t>3</w:t>
            </w:r>
          </w:p>
        </w:tc>
        <w:tc>
          <w:tcPr>
            <w:tcW w:w="4934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Інформація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разі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прийняття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рішень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органами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самоврядування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створення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територіальної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громади,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ці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є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чинними.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4</w:t>
            </w:r>
          </w:p>
        </w:tc>
        <w:tc>
          <w:tcPr>
            <w:tcW w:w="4934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Кількість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рядків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може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бути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збільшена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необхідності.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5</w:t>
            </w:r>
          </w:p>
        </w:tc>
        <w:tc>
          <w:tcPr>
            <w:tcW w:w="4934" w:type="pct"/>
            <w:hideMark/>
          </w:tcPr>
          <w:p w:rsidR="00A47688" w:rsidRPr="00D5489F" w:rsidRDefault="007877B1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Вид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згідно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59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Порядку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ведення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Державного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кадастру,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затвердженого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постановою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Кабінету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Міністрів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жовтня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br/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1051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(Офіційний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вісник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89,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3598;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2021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65,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4117).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Додатковий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разі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необхідності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для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певного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встановити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додаткову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(наприклад,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для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мають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певні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ознаки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умови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користування,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ставку,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яка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поряд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основною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ставкою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діє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протягом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обмеженого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періоду).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такому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разі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рядком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потрібним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новий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рядок,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графі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самий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графі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додатковий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цифровому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форматі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хх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починаючи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01,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графі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найменування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-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опис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особливостей,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згідно</w:t>
            </w:r>
            <w:bookmarkStart w:id="0" w:name="_GoBack"/>
            <w:bookmarkEnd w:id="0"/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якими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встановлюється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окрема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ставка.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Для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додаткових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рядків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заповнення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графи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код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обов’язкове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6</w:t>
            </w:r>
          </w:p>
        </w:tc>
        <w:tc>
          <w:tcPr>
            <w:tcW w:w="4934" w:type="pct"/>
            <w:hideMark/>
          </w:tcPr>
          <w:p w:rsidR="007877B1" w:rsidRPr="00D5489F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встановлюються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урахуванням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норм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підпункту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12.3.7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пункту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12.3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12,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пункту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30.2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30,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статей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274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277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кодексу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десятковим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дробом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трьома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разі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потреби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чотирма)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десятковими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знаками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після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коми.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7</w:t>
            </w:r>
          </w:p>
        </w:tc>
        <w:tc>
          <w:tcPr>
            <w:tcW w:w="4934" w:type="pct"/>
            <w:hideMark/>
          </w:tcPr>
          <w:p w:rsidR="007877B1" w:rsidRPr="00D5489F" w:rsidRDefault="007877B1" w:rsidP="00702253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ділянки,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класифікуються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02253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відповідним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02253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02253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виду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згідно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59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Порядку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ведення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Державного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кадастру,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затвердженого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постановою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Кабінету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Міністрів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жовтня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1051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(Офіційний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вісник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89,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3598;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2021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65,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4117)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звільняються/можуть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звільнятися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повністю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частково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оподаткування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відповідно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норм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статей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281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-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283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кодексу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8</w:t>
            </w:r>
          </w:p>
        </w:tc>
        <w:tc>
          <w:tcPr>
            <w:tcW w:w="4934" w:type="pct"/>
            <w:hideMark/>
          </w:tcPr>
          <w:p w:rsidR="007877B1" w:rsidRPr="00D5489F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категорія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інші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ознаки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для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встановлюються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ставки.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 </w:t>
            </w:r>
          </w:p>
        </w:tc>
      </w:tr>
    </w:tbl>
    <w:p w:rsidR="007877B1" w:rsidRDefault="007877B1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Pr="004F35CB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C449E5" w:rsidTr="00DA20CA">
        <w:trPr>
          <w:trHeight w:val="390"/>
        </w:trPr>
        <w:tc>
          <w:tcPr>
            <w:tcW w:w="7995" w:type="dxa"/>
            <w:hideMark/>
          </w:tcPr>
          <w:p w:rsidR="007877B1" w:rsidRPr="00A33A04" w:rsidRDefault="009D6D49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Секретар сільської ради</w:t>
            </w:r>
          </w:p>
        </w:tc>
        <w:tc>
          <w:tcPr>
            <w:tcW w:w="811" w:type="dxa"/>
            <w:hideMark/>
          </w:tcPr>
          <w:p w:rsidR="007877B1" w:rsidRPr="00C449E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016" w:type="dxa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____________________</w:t>
            </w:r>
          </w:p>
          <w:p w:rsidR="007877B1" w:rsidRPr="00C449E5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134" w:type="dxa"/>
            <w:noWrap/>
            <w:hideMark/>
          </w:tcPr>
          <w:p w:rsidR="007877B1" w:rsidRPr="00C449E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7877B1" w:rsidRPr="00F547F4" w:rsidRDefault="00F547F4" w:rsidP="001E7C89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</w:pPr>
            <w:r w:rsidRPr="00F547F4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Оле</w:t>
            </w:r>
            <w:r w:rsidR="009D6D49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 xml:space="preserve">на </w:t>
            </w:r>
            <w:r w:rsidRPr="00F547F4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 xml:space="preserve"> </w:t>
            </w:r>
            <w:r w:rsidR="009D6D49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ТАРАС</w:t>
            </w:r>
            <w:r w:rsidRPr="00F547F4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ЕНКО</w:t>
            </w:r>
          </w:p>
          <w:p w:rsidR="007877B1" w:rsidRPr="00C5731E" w:rsidRDefault="007877B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(власне</w:t>
            </w:r>
            <w:r w:rsidR="00DA20CA"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ім’я,</w:t>
            </w:r>
            <w:r w:rsidR="00DA20CA"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прізвище)</w:t>
            </w:r>
          </w:p>
        </w:tc>
      </w:tr>
    </w:tbl>
    <w:p w:rsidR="00DC64C3" w:rsidRPr="00C5731E" w:rsidRDefault="00DC64C3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ru-RU"/>
        </w:rPr>
      </w:pPr>
    </w:p>
    <w:sectPr w:rsidR="00DC64C3" w:rsidRPr="00C5731E" w:rsidSect="00DA20CA">
      <w:headerReference w:type="even" r:id="rId7"/>
      <w:headerReference w:type="default" r:id="rId8"/>
      <w:pgSz w:w="23808" w:h="16840" w:orient="landscape" w:code="8"/>
      <w:pgMar w:top="1134" w:right="1134" w:bottom="1531" w:left="153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85" w:rsidRDefault="00AC3685">
      <w:r>
        <w:separator/>
      </w:r>
    </w:p>
  </w:endnote>
  <w:endnote w:type="continuationSeparator" w:id="0">
    <w:p w:rsidR="00AC3685" w:rsidRDefault="00A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85" w:rsidRDefault="00AC3685">
      <w:r>
        <w:separator/>
      </w:r>
    </w:p>
  </w:footnote>
  <w:footnote w:type="continuationSeparator" w:id="0">
    <w:p w:rsidR="00AC3685" w:rsidRDefault="00AC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C9" w:rsidRDefault="00E42AC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42AC9" w:rsidRDefault="00E42A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764344"/>
      <w:docPartObj>
        <w:docPartGallery w:val="Page Numbers (Top of Page)"/>
        <w:docPartUnique/>
      </w:docPartObj>
    </w:sdtPr>
    <w:sdtEndPr/>
    <w:sdtContent>
      <w:p w:rsidR="00E42AC9" w:rsidRDefault="00AC3685" w:rsidP="00DA20CA">
        <w:pPr>
          <w:pStyle w:val="a7"/>
        </w:pPr>
      </w:p>
    </w:sdtContent>
  </w:sdt>
  <w:p w:rsidR="00E42AC9" w:rsidRPr="00DA20CA" w:rsidRDefault="00E42AC9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37515"/>
    <w:rsid w:val="000468C8"/>
    <w:rsid w:val="00047607"/>
    <w:rsid w:val="0005290C"/>
    <w:rsid w:val="00057313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2465"/>
    <w:rsid w:val="001555E2"/>
    <w:rsid w:val="001632B0"/>
    <w:rsid w:val="001706FF"/>
    <w:rsid w:val="0017322B"/>
    <w:rsid w:val="00187CD3"/>
    <w:rsid w:val="00195EBA"/>
    <w:rsid w:val="001975BC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776ED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3106CF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578A"/>
    <w:rsid w:val="003A6DCB"/>
    <w:rsid w:val="003C015A"/>
    <w:rsid w:val="003C4070"/>
    <w:rsid w:val="003D120F"/>
    <w:rsid w:val="003D1E04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1BB2"/>
    <w:rsid w:val="004E7899"/>
    <w:rsid w:val="004F0A5A"/>
    <w:rsid w:val="004F13F5"/>
    <w:rsid w:val="004F2883"/>
    <w:rsid w:val="004F2A35"/>
    <w:rsid w:val="004F2C2F"/>
    <w:rsid w:val="004F3128"/>
    <w:rsid w:val="004F35CB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C740F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5639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54C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17EB9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3996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D6D49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33A04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3685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062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56B8"/>
    <w:rsid w:val="00C26ABD"/>
    <w:rsid w:val="00C34DC0"/>
    <w:rsid w:val="00C36385"/>
    <w:rsid w:val="00C449E5"/>
    <w:rsid w:val="00C45900"/>
    <w:rsid w:val="00C45A8D"/>
    <w:rsid w:val="00C52414"/>
    <w:rsid w:val="00C53ACA"/>
    <w:rsid w:val="00C56450"/>
    <w:rsid w:val="00C5731E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D792F"/>
    <w:rsid w:val="00CE020E"/>
    <w:rsid w:val="00CE183F"/>
    <w:rsid w:val="00CE6F0D"/>
    <w:rsid w:val="00CF0889"/>
    <w:rsid w:val="00CF2265"/>
    <w:rsid w:val="00CF3571"/>
    <w:rsid w:val="00D13E09"/>
    <w:rsid w:val="00D2250A"/>
    <w:rsid w:val="00D23747"/>
    <w:rsid w:val="00D3542D"/>
    <w:rsid w:val="00D36F34"/>
    <w:rsid w:val="00D37C0A"/>
    <w:rsid w:val="00D41BAE"/>
    <w:rsid w:val="00D42926"/>
    <w:rsid w:val="00D47F25"/>
    <w:rsid w:val="00D5489F"/>
    <w:rsid w:val="00D55798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162C"/>
    <w:rsid w:val="00DA20CA"/>
    <w:rsid w:val="00DA4397"/>
    <w:rsid w:val="00DC1550"/>
    <w:rsid w:val="00DC2975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27DFB"/>
    <w:rsid w:val="00E303C5"/>
    <w:rsid w:val="00E32B42"/>
    <w:rsid w:val="00E32ED8"/>
    <w:rsid w:val="00E40CA1"/>
    <w:rsid w:val="00E42AC9"/>
    <w:rsid w:val="00E51A45"/>
    <w:rsid w:val="00E52532"/>
    <w:rsid w:val="00E62F63"/>
    <w:rsid w:val="00E7253E"/>
    <w:rsid w:val="00E834D7"/>
    <w:rsid w:val="00E85B9D"/>
    <w:rsid w:val="00E903B0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F4912"/>
    <w:rsid w:val="00F062C2"/>
    <w:rsid w:val="00F161DF"/>
    <w:rsid w:val="00F23773"/>
    <w:rsid w:val="00F25079"/>
    <w:rsid w:val="00F26EF0"/>
    <w:rsid w:val="00F32DAB"/>
    <w:rsid w:val="00F46267"/>
    <w:rsid w:val="00F504D4"/>
    <w:rsid w:val="00F547F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0534"/>
    <w:rsid w:val="00FD2436"/>
    <w:rsid w:val="00FE0C62"/>
    <w:rsid w:val="00FE60F2"/>
    <w:rsid w:val="00FF08C0"/>
    <w:rsid w:val="00FF1AB8"/>
    <w:rsid w:val="00FF21A7"/>
    <w:rsid w:val="00FF5319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3122"/>
  <w15:docId w15:val="{98B7A05E-63C6-44BF-B0CE-8B3E03A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BAFC-D05A-44B0-B5FC-F31DB015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19818</Words>
  <Characters>11297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31053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2025-07-15T11:30:00Z</cp:lastPrinted>
  <dcterms:created xsi:type="dcterms:W3CDTF">2025-06-04T06:39:00Z</dcterms:created>
  <dcterms:modified xsi:type="dcterms:W3CDTF">2025-07-15T11:31:00Z</dcterms:modified>
</cp:coreProperties>
</file>